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jc w:val="center"/>
        <w:rPr>
          <w:rFonts w:ascii="Times New Roman" w:hAnsi="Times New Roman" w:cs="Times New Roman"/>
          <w:sz w:val="24"/>
          <w:szCs w:val="24"/>
        </w:rPr>
      </w:pPr>
      <w:r w:rsidRPr="00D06631">
        <w:rPr>
          <w:rFonts w:ascii="Times New Roman" w:hAnsi="Times New Roman" w:cs="Times New Roman"/>
          <w:sz w:val="24"/>
          <w:szCs w:val="24"/>
        </w:rPr>
        <w:t>Health Care Reform</w:t>
      </w:r>
    </w:p>
    <w:p w:rsidR="00D06631" w:rsidRPr="00D06631" w:rsidRDefault="00D06631" w:rsidP="00D06631">
      <w:pPr>
        <w:spacing w:line="480" w:lineRule="auto"/>
        <w:ind w:firstLine="720"/>
        <w:jc w:val="center"/>
        <w:rPr>
          <w:rFonts w:ascii="Times New Roman" w:hAnsi="Times New Roman" w:cs="Times New Roman"/>
          <w:sz w:val="24"/>
          <w:szCs w:val="24"/>
        </w:rPr>
      </w:pPr>
      <w:r w:rsidRPr="00D06631">
        <w:rPr>
          <w:rFonts w:ascii="Times New Roman" w:hAnsi="Times New Roman" w:cs="Times New Roman"/>
          <w:sz w:val="24"/>
          <w:szCs w:val="24"/>
        </w:rPr>
        <w:t>Student Name</w:t>
      </w:r>
    </w:p>
    <w:p w:rsidR="00D06631" w:rsidRPr="00D06631" w:rsidRDefault="00D06631" w:rsidP="00D06631">
      <w:pPr>
        <w:spacing w:line="480" w:lineRule="auto"/>
        <w:ind w:firstLine="720"/>
        <w:jc w:val="center"/>
        <w:rPr>
          <w:rFonts w:ascii="Times New Roman" w:hAnsi="Times New Roman" w:cs="Times New Roman"/>
          <w:sz w:val="24"/>
          <w:szCs w:val="24"/>
        </w:rPr>
      </w:pPr>
      <w:r w:rsidRPr="00D06631">
        <w:rPr>
          <w:rFonts w:ascii="Times New Roman" w:hAnsi="Times New Roman" w:cs="Times New Roman"/>
          <w:sz w:val="24"/>
          <w:szCs w:val="24"/>
        </w:rPr>
        <w:t>Institution Affiliation</w:t>
      </w: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rPr>
          <w:rFonts w:ascii="Times New Roman" w:hAnsi="Times New Roman" w:cs="Times New Roman"/>
          <w:sz w:val="24"/>
          <w:szCs w:val="24"/>
        </w:rPr>
      </w:pPr>
    </w:p>
    <w:p w:rsidR="00D06631" w:rsidRPr="00D06631" w:rsidRDefault="00D06631" w:rsidP="00D06631">
      <w:pPr>
        <w:spacing w:line="480" w:lineRule="auto"/>
        <w:ind w:firstLine="720"/>
        <w:jc w:val="center"/>
        <w:rPr>
          <w:rFonts w:ascii="Times New Roman" w:hAnsi="Times New Roman" w:cs="Times New Roman"/>
          <w:b/>
          <w:sz w:val="24"/>
          <w:szCs w:val="24"/>
        </w:rPr>
      </w:pPr>
      <w:r w:rsidRPr="00D06631">
        <w:rPr>
          <w:rFonts w:ascii="Times New Roman" w:hAnsi="Times New Roman" w:cs="Times New Roman"/>
          <w:b/>
          <w:sz w:val="24"/>
          <w:szCs w:val="24"/>
        </w:rPr>
        <w:lastRenderedPageBreak/>
        <w:t>Health Care Reform</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Competency One</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The health care value gap is better depicted as an inlet for specific portions of the population. A new legislative Health System for the 21st Century challenges all human services associations to seek after six remarkable points of social insurance change: security, convenience, adequacy, productivity, value, and patient-centeredness. Polices and organization regulations have guaranteed that quality care is accessible to all and that the nature of care given does not vary by race, ethnicity, or other individual attributes random to a patient's purpose behind looking for the mind, (F. 2010).</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There is a notable gap between the nature of care the medicinal services framework is equipped for accomplishing and the nature of care it right now conveys. As opposed to being the result of individual suppliers' activities or insufficiencies, gaps in the nature of care are to a great extent because of the disappointment of human services associations to consolidate known change measures into the procedure of care, (A. 2011).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Competency Three</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As the nation’s healthcare services need increment in complexity, recharged consideration is being given to the moral measurements of general wellbeing basic leadership and the improvement of general wellbeing morals as a limited territory of educating and research. This article gives a review of ways to deal with general wellbeing morals and basic leadership and proposes approaches to consolidate the polished skill capabilities into the educating of general healthcare practice. The educating of morals dialect, ideas, and devices for choice examination plans scholars for the unavoidable moral decisions they should make in their </w:t>
      </w:r>
      <w:r w:rsidRPr="00D06631">
        <w:rPr>
          <w:rFonts w:ascii="Times New Roman" w:hAnsi="Times New Roman" w:cs="Times New Roman"/>
          <w:sz w:val="24"/>
          <w:szCs w:val="24"/>
        </w:rPr>
        <w:lastRenderedPageBreak/>
        <w:t>expert practice. New innovations, rising and reemerging irresistible maladies, globalization, and a developing hole amongst rich and poor incite experts to ask, "What is the proper activity?" in settling on choices that will influence the public healthcare.</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Competency Four</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Extensive progress has been made in such zones as intense hospital care, essential care, and populace wellbeing, however in such zones as mental well-being, monetary assurance and wellbeing framework responsiveness, inquire about is at a significantly prior phase of improvement. The main necessity of any dashboard metrics framework is to define a hearty calculated structure inside which execution measures can be produced. Dashboard metric execution markers have yet to fit into the system and fulfil various criteria, for example, confront legitimacy, acceptability, reproducibility, plausibility, dependability, affectability and prescient legitimacy with regard to federal health care policies and laws. Other than focusing on these specialized contemplations, arrangement producers should give careful consideration to the political and professional team setting inside which execution information is to be gathered and spread.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Competency Six</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Regardless of the significance of strategy sanctioning in communication advancement activities, communication between public healthcare scientists and policymakers has always been to a great extent lacking. Keeping in mind the end goal to enhance communication, the research field may take a sign from groups who have been fruitful at influential communication inside defined policy settings. For public healthcare, very regularly professionals expect the information coming about because of their examinations to recount a convincing anecdote about </w:t>
      </w:r>
      <w:r w:rsidRPr="00D06631">
        <w:rPr>
          <w:rFonts w:ascii="Times New Roman" w:hAnsi="Times New Roman" w:cs="Times New Roman"/>
          <w:sz w:val="24"/>
          <w:szCs w:val="24"/>
        </w:rPr>
        <w:lastRenderedPageBreak/>
        <w:t>the potential effect of the outcomes in the public. As a general rule, outcomes don't represent themselves outside of the exploration group and should be made fit for application in policy settings and among people in general.</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Dashboard and Health Care Benchmark Evaluation Simulation</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Report</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Introduction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This document will acquaint the seniors with the idea of performance measurement and metrics as connected to the organization. As an organization work to build member esteem, there is an expanding need to gauge viability as for programs, promoting efforts and staff performance. Since an organization work always includes staff and volunteer pioneers cooperating on a shared objective, it is useful to have devices set up to control and assess this work, (R. (Ed.). 2014). Following is a dialogue of a few strategies right now being utilized to assess performance.</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Evaluation of Performance</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The role of organization healthcare risks and value professionals are developing in human services associations. Before, the two capacities regularly worked independently, and people in charge of each capacity had diverse lines of detailing. There is an authoritative structure that further isolated risk administration and quality. Today, an organization risk management and quality change endeavours in medicinal services associations are energizing behind patient health and discovering approaches to cooperate all the more viable and effectively to guarantee that their organization convey safe, fantastic patient care and keep on minimizing threats.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Performance Measurement</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lastRenderedPageBreak/>
        <w:t xml:space="preserve">Performance measurement is a vital foundation for any association and can help guarantee that: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1.    Best administrations in the organization are recognized and extended,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2.    Procedures are benchmarked against the performance of outside associations</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3.    Assets are utilized proficiently and adequately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4.    Vital exercises are adjusted to the key plans.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Performance measurement needs to include both senior administrations who comprehend the long-extend objectives of the association and cutting-edge staff who know the sorts of measures required for keen basic leadership. In spite of the fact that there is no "immaculate set" of measures, associations should explore different avenues regarding a "starter" set of metrics and develop these measures after some time. The greatest difficulties in estimation are not in the accumulation and investigation of information, but rather in clarification of results and settling on choices in light of the data. Instruction is a basic piece of all estimation. Comprehending what to gauge, how to quantify, how to utilize estimation and how to connect these measures to other learning of authoritative execution are basic to the fruitful utilization of performance estimation. Give preparing to the groups in how to do this and set up a procedure for detailing, investigating and moving forward.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Today, there are numerous organization performance measurement frameworks being used, a few of which can be adjusted to charities and affiliations, contingent on the coveted results of the association. Performance measurements viability relies upon distinguishing and coordinating suitable organization measurements that are pulled to an organization’s administrations, methodology, and industry. One framework prescribed by a few specialists in </w:t>
      </w:r>
      <w:r w:rsidRPr="00D06631">
        <w:rPr>
          <w:rFonts w:ascii="Times New Roman" w:hAnsi="Times New Roman" w:cs="Times New Roman"/>
          <w:sz w:val="24"/>
          <w:szCs w:val="24"/>
        </w:rPr>
        <w:lastRenderedPageBreak/>
        <w:t xml:space="preserve">the use of execution measurements to the philanthropic and affiliation field. The Balanced Scorecard Metrics (BSC) will be portrayed quickly inside this announcement.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The initiative is basic in outlining and sending viable performance measurement frameworks, (R. (Ed.). 2014). Clear, reliable and noticeable organization by senior officials and directors is an important piece of effective performance measurement and administrative frameworks. The senior authority has the responsibility to be effectively associated with both the creation and usage of its health care association's frameworks.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A reasonable structure is required for the performance measurement and administration framework. Each association needs a reasonable and strong performance measurement system that is comprehended by all levels of the association and that backings destinations and the accumulation of results.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Compelling communication with workers, process proprietors, clients, and partners is fundamental to the efficiency improvement and organization of performance measurement frameworks. It is the clients and partners of an association, regardless of whether open or private, who will at last judge how well it has accomplished its objectives and targets. Furthermore, it is those inside the association depended with and anticipated that would accomplish execution objectives and targets who should plainly see how achievement is characterized and what their part is in making that progress. Both association untouchables and insiders should be a piece of the improvement and organization of performance measurement frameworks.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Responsibility for comes about must be unmistakably appointed and surely knew. Superior associations obviously distinguish what it takes to decide achievement and ensure that </w:t>
      </w:r>
      <w:r w:rsidRPr="00D06631">
        <w:rPr>
          <w:rFonts w:ascii="Times New Roman" w:hAnsi="Times New Roman" w:cs="Times New Roman"/>
          <w:sz w:val="24"/>
          <w:szCs w:val="24"/>
        </w:rPr>
        <w:lastRenderedPageBreak/>
        <w:t xml:space="preserve">all directors and representatives comprehend what they were in charge of in accomplishing hierarchical objectives of the health care.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Performance measurement frameworks must give insight to leaders, not simply accumulate information. Execution measures ought to be restricted to those that identify with vital hierarchical objectives and targets, and that give opportune, significant and brief data for use by leaders at all levels to evaluate advance toward accomplishing foreordained objectives. Remuneration, prizes, and acknowledgement ought to be connected to execution estimations however this linkage ought to be certain not correctional. Such a linkage sends a reasonable and unambiguous message to the association with respect to what's critical, (N. 2014).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In the general population part, an expanding number of government payment activities connected to social insurance quality have guaranteed that the joined actions of risk and quality supervisors have the consideration of medicinal services pioneers. These payment activities incorporate esteem based buying i.e., Medicare installment improvements to healing centers that meet particular quality targets, arrangements to never again pay the expenses of certain doctor's facility procured conditions, and monetary punishments for doctor's facilities with high rates of readmissions inside 30 days of a patient's clinic release for the treatment of specific conditions.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In the private segment, various endeavours to upgrade medicinal services quality have required a nearer working connection amongst hazard and quality experts to enhance tolerant security over the continuum of care, (R. (Ed.). 2014). Activities incorporate The Leapfrog Group's open doctor's facility detailing activities to help medicinal services buyers, the National Quality Forum's concerns reportable occasions and suggestions of safe practices for social insurance associations, and the National Committee for Quality Assurance's (NCQA) value </w:t>
      </w:r>
      <w:r w:rsidRPr="00D06631">
        <w:rPr>
          <w:rFonts w:ascii="Times New Roman" w:hAnsi="Times New Roman" w:cs="Times New Roman"/>
          <w:sz w:val="24"/>
          <w:szCs w:val="24"/>
        </w:rPr>
        <w:lastRenderedPageBreak/>
        <w:t xml:space="preserve">measures, known as the Healthcare Effectiveness Data and Information Set, or HEDIS for oversaw mind, (Goodini, A. 2015).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Not exclusively is a medicinal services office's nature of-mind information used to set up repayment rates, yet it is likewise posted on the government's Hospital Compare site so patients can utilize the information to choose healing facilities. The national government likewise posts freely accessible quality information for other human services suppliers, including long pull mind offices, doctors, home wellbeing suppliers, and dialysis offices. Human services pioneers perceive that low-quality care can influence both the association's primary concern and its notoriety and that inability to incorporate risk and quality accomplishments can risk the organization’s prosperity.</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Inside this organizational condition, risk and quality supervisors are accomplishing all the more, yet not generally with extra assets. For instance, similar organizations are receiving a responsibility wide way to deal with risk and requesting that their risk administrators look past clinical dangers to others, for example, vital and money related vulnerabilities, influencing the association. Quality supervisors are being made a request to give the information and examination to help an expanding number of value activities in both the general population and private divisions. Risk and quality directors perceive that by working together to address covering issues and capacities, they are more proficient intending to shared interests and better ready to concentrate on their unmistakable capacities.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Thus, the need to repair frameworks to improve quiet security and the need to accomplish operational productivity, the healthcare organizations are realigning their risk and quality exercises. For instance, some bigger organizations are blending their patient health, risk, and quality capacities into one program, division, or establishment. Though diverse people might be </w:t>
      </w:r>
      <w:r w:rsidRPr="00D06631">
        <w:rPr>
          <w:rFonts w:ascii="Times New Roman" w:hAnsi="Times New Roman" w:cs="Times New Roman"/>
          <w:sz w:val="24"/>
          <w:szCs w:val="24"/>
        </w:rPr>
        <w:lastRenderedPageBreak/>
        <w:t xml:space="preserve">in charge of every zone, they regularly answer to a similar specialist in the hierarchical chain of command. In smaller organizations, risk and quality chiefs are better organizing their endeavours where they cover to guarantee better arrangement of patient security activities and utilization of restricted assets.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A few organizations have additionally discovered points of interest in utilizing the legitimate assurances conceded by the Patient Safety and Quality Improvement Act of 2005 (PSQIA), and also accessible state securities. These securities offer a system to separate normal and covering quiet wellbeing exercises of risk and quality that can be performed inside a legitimately shielded condition from those exercises that are performed independently outside government and state lawful insurances.</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Activity Recommendations</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1.    Look for senior authority boost for adjusting the patient wellbeing, hazard, and quality capacities inside the organization.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2.    Guarantee that the patient wellbeing, vulnerability, and quality exercises are lined up with the key objectives of the organization.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3.    Survey current exercises in quiet security, vulnerability, and quality to explicate duties and decrease duplication of exertion.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4.    Set up a structure that guarantees that patient care exercises are tended to in a planned way including the patient wellbeing, vulnerability, and quality capacities.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lastRenderedPageBreak/>
        <w:t>5.    Look for direction to guarantee that the structure for persistent security, hazard, and quality exercises boosts lawful insurances while considering the stream of data overall capacities.</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6.    Look to facilitate and streamline process changes, information gathering, information examination, checking, and assessment.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 xml:space="preserve">7.    Gain from each other, benefiting from the abilities gave by every director. </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8.    Intermittently assess the parts of patient security, vulnerability, and quality as the association's needs change.</w:t>
      </w: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rPr>
          <w:rFonts w:ascii="Times New Roman" w:hAnsi="Times New Roman" w:cs="Times New Roman"/>
          <w:sz w:val="24"/>
          <w:szCs w:val="24"/>
        </w:rPr>
      </w:pPr>
    </w:p>
    <w:p w:rsidR="00D06631" w:rsidRDefault="00D06631" w:rsidP="00D06631">
      <w:pPr>
        <w:spacing w:line="480" w:lineRule="auto"/>
        <w:ind w:firstLine="720"/>
        <w:rPr>
          <w:rFonts w:ascii="Times New Roman" w:hAnsi="Times New Roman" w:cs="Times New Roman"/>
          <w:sz w:val="24"/>
          <w:szCs w:val="24"/>
        </w:rPr>
      </w:pPr>
    </w:p>
    <w:p w:rsidR="00D06631" w:rsidRDefault="00D06631" w:rsidP="00D06631">
      <w:pPr>
        <w:spacing w:line="480" w:lineRule="auto"/>
        <w:ind w:firstLine="720"/>
        <w:rPr>
          <w:rFonts w:ascii="Times New Roman" w:hAnsi="Times New Roman" w:cs="Times New Roman"/>
          <w:sz w:val="24"/>
          <w:szCs w:val="24"/>
        </w:rPr>
      </w:pPr>
    </w:p>
    <w:p w:rsidR="00D06631" w:rsidRDefault="00D06631" w:rsidP="00D06631">
      <w:pPr>
        <w:spacing w:line="480" w:lineRule="auto"/>
        <w:ind w:firstLine="720"/>
        <w:rPr>
          <w:rFonts w:ascii="Times New Roman" w:hAnsi="Times New Roman" w:cs="Times New Roman"/>
          <w:sz w:val="24"/>
          <w:szCs w:val="24"/>
        </w:rPr>
      </w:pPr>
    </w:p>
    <w:p w:rsidR="00D06631" w:rsidRDefault="00D06631" w:rsidP="00D06631">
      <w:pPr>
        <w:spacing w:line="480" w:lineRule="auto"/>
        <w:ind w:firstLine="720"/>
        <w:rPr>
          <w:rFonts w:ascii="Times New Roman" w:hAnsi="Times New Roman" w:cs="Times New Roman"/>
          <w:sz w:val="24"/>
          <w:szCs w:val="24"/>
        </w:rPr>
      </w:pPr>
    </w:p>
    <w:p w:rsidR="00D06631" w:rsidRDefault="00D06631" w:rsidP="00D06631">
      <w:pPr>
        <w:spacing w:line="480" w:lineRule="auto"/>
        <w:ind w:firstLine="720"/>
        <w:rPr>
          <w:rFonts w:ascii="Times New Roman" w:hAnsi="Times New Roman" w:cs="Times New Roman"/>
          <w:sz w:val="24"/>
          <w:szCs w:val="24"/>
        </w:rPr>
      </w:pPr>
    </w:p>
    <w:p w:rsidR="00D06631" w:rsidRDefault="00D06631" w:rsidP="00D06631">
      <w:pPr>
        <w:spacing w:line="480" w:lineRule="auto"/>
        <w:ind w:firstLine="720"/>
        <w:rPr>
          <w:rFonts w:ascii="Times New Roman" w:hAnsi="Times New Roman" w:cs="Times New Roman"/>
          <w:sz w:val="24"/>
          <w:szCs w:val="24"/>
        </w:rPr>
      </w:pPr>
    </w:p>
    <w:p w:rsid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rPr>
          <w:rFonts w:ascii="Times New Roman" w:hAnsi="Times New Roman" w:cs="Times New Roman"/>
          <w:sz w:val="24"/>
          <w:szCs w:val="24"/>
        </w:rPr>
      </w:pPr>
    </w:p>
    <w:p w:rsidR="00D06631" w:rsidRPr="00D06631" w:rsidRDefault="00D06631" w:rsidP="00D06631">
      <w:pPr>
        <w:spacing w:line="480" w:lineRule="auto"/>
        <w:ind w:firstLine="720"/>
        <w:jc w:val="center"/>
        <w:rPr>
          <w:rFonts w:ascii="Times New Roman" w:hAnsi="Times New Roman" w:cs="Times New Roman"/>
          <w:b/>
          <w:sz w:val="24"/>
          <w:szCs w:val="24"/>
        </w:rPr>
      </w:pPr>
      <w:r w:rsidRPr="00D06631">
        <w:rPr>
          <w:rFonts w:ascii="Times New Roman" w:hAnsi="Times New Roman" w:cs="Times New Roman"/>
          <w:b/>
          <w:sz w:val="24"/>
          <w:szCs w:val="24"/>
        </w:rPr>
        <w:lastRenderedPageBreak/>
        <w:t>References</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Toth, F. (2010). Healthcare policies over the last 20 years: Reforms and counter-reforms. Health Policy, 95(1), 82-89.</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Haynes, B., &amp; Haines, A. (2011). Getting research findings into practice: Barriers and bridges to evidence-based clinical practice. BMJ: British Medical Journal, 317(7153), 273.</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Oliver, T. R. (Ed.). (2014). Guide to U.S. Health and Health Care Policy. Washington DC: CQ Press. Johns Hopkins Medicine. (n.d.). Patient safety and quality dashboard: Core measures at JHM. Retrieved from</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http://www.hopkinsmedicine.org/patient_safety_quality_dashboard/understanding_performance_metrics/core_measures.html</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National Committee for Quality Assurance. (2016). HEDIS &amp;amp; performance measurement. Retrieved from www.ncqa.org/tabid/59/default.aspx</w:t>
      </w:r>
    </w:p>
    <w:p w:rsidR="00D06631" w:rsidRPr="00D06631" w:rsidRDefault="00D06631" w:rsidP="00D06631">
      <w:pPr>
        <w:spacing w:line="480" w:lineRule="auto"/>
        <w:ind w:firstLine="720"/>
        <w:rPr>
          <w:rFonts w:ascii="Times New Roman" w:hAnsi="Times New Roman" w:cs="Times New Roman"/>
          <w:sz w:val="24"/>
          <w:szCs w:val="24"/>
        </w:rPr>
      </w:pPr>
      <w:r w:rsidRPr="00D06631">
        <w:rPr>
          <w:rFonts w:ascii="Times New Roman" w:hAnsi="Times New Roman" w:cs="Times New Roman"/>
          <w:sz w:val="24"/>
          <w:szCs w:val="24"/>
        </w:rPr>
        <w:t>Huerta T. R., Hefner J. L., Ford E. W., McAlearney A. S., &amp;amp; Menachemi N. (2014). Hospital website rankings in the United States: Expanding benchmarks and standards for effective consumer engagement. Journal of Medical Internet Research. 16(2), e64.</w:t>
      </w:r>
    </w:p>
    <w:p w:rsidR="00173714" w:rsidRPr="00D06631" w:rsidRDefault="00D06631" w:rsidP="00D06631">
      <w:pPr>
        <w:spacing w:line="480" w:lineRule="auto"/>
        <w:ind w:firstLine="720"/>
        <w:rPr>
          <w:szCs w:val="24"/>
        </w:rPr>
      </w:pPr>
      <w:r w:rsidRPr="00D06631">
        <w:rPr>
          <w:rFonts w:ascii="Times New Roman" w:hAnsi="Times New Roman" w:cs="Times New Roman"/>
          <w:sz w:val="24"/>
          <w:szCs w:val="24"/>
        </w:rPr>
        <w:t>Ghazisaeidi, M., Safari, R., Torabi, M., Mirzaee, M., Farzi, J. &amp;amp; Goodini, A. (2015). Development of performance dashboards in the healthcare sector: Key practical issues. Acta Informatica Medica, 23(5), 317–321.</w:t>
      </w:r>
    </w:p>
    <w:sectPr w:rsidR="00173714" w:rsidRPr="00D06631" w:rsidSect="00D066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68E2" w:rsidRDefault="008468E2" w:rsidP="0003401C">
      <w:pPr>
        <w:spacing w:after="0" w:line="240" w:lineRule="auto"/>
      </w:pPr>
      <w:r>
        <w:separator/>
      </w:r>
    </w:p>
  </w:endnote>
  <w:endnote w:type="continuationSeparator" w:id="1">
    <w:p w:rsidR="008468E2" w:rsidRDefault="008468E2" w:rsidP="000340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68E2" w:rsidRDefault="008468E2" w:rsidP="0003401C">
      <w:pPr>
        <w:spacing w:after="0" w:line="240" w:lineRule="auto"/>
      </w:pPr>
      <w:r>
        <w:separator/>
      </w:r>
    </w:p>
  </w:footnote>
  <w:footnote w:type="continuationSeparator" w:id="1">
    <w:p w:rsidR="008468E2" w:rsidRDefault="008468E2" w:rsidP="000340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31" w:rsidRDefault="00D06631">
    <w:pPr>
      <w:pStyle w:val="Header"/>
      <w:jc w:val="right"/>
    </w:pPr>
    <w:r>
      <w:t>HEALTH CARE REFORMS</w:t>
    </w:r>
    <w:r>
      <w:tab/>
    </w:r>
    <w:r>
      <w:tab/>
    </w:r>
    <w:sdt>
      <w:sdtPr>
        <w:id w:val="146019664"/>
        <w:docPartObj>
          <w:docPartGallery w:val="Page Numbers (Top of Page)"/>
          <w:docPartUnique/>
        </w:docPartObj>
      </w:sdtPr>
      <w:sdtContent>
        <w:fldSimple w:instr=" PAGE   \* MERGEFORMAT ">
          <w:r w:rsidR="000F419C">
            <w:rPr>
              <w:noProof/>
            </w:rPr>
            <w:t>11</w:t>
          </w:r>
        </w:fldSimple>
      </w:sdtContent>
    </w:sdt>
  </w:p>
  <w:p w:rsidR="00D06631" w:rsidRDefault="00D0663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019657"/>
      <w:docPartObj>
        <w:docPartGallery w:val="Page Numbers (Top of Page)"/>
        <w:docPartUnique/>
      </w:docPartObj>
    </w:sdtPr>
    <w:sdtContent>
      <w:p w:rsidR="00D06631" w:rsidRDefault="00D06631">
        <w:pPr>
          <w:pStyle w:val="Header"/>
          <w:jc w:val="right"/>
        </w:pPr>
        <w:r>
          <w:t>Running Head: HEALTH CARE REFORMS</w:t>
        </w:r>
        <w:r>
          <w:tab/>
        </w:r>
        <w:r>
          <w:tab/>
          <w:t xml:space="preserve"> </w:t>
        </w:r>
        <w:fldSimple w:instr=" PAGE   \* MERGEFORMAT ">
          <w:r w:rsidR="000F419C">
            <w:rPr>
              <w:noProof/>
            </w:rPr>
            <w:t>1</w:t>
          </w:r>
        </w:fldSimple>
      </w:p>
    </w:sdtContent>
  </w:sdt>
  <w:p w:rsidR="00D06631" w:rsidRDefault="00D0663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9E691C"/>
    <w:multiLevelType w:val="hybridMultilevel"/>
    <w:tmpl w:val="68D2D328"/>
    <w:lvl w:ilvl="0" w:tplc="3DF8CB4E">
      <w:start w:val="1"/>
      <w:numFmt w:val="decimal"/>
      <w:lvlText w:val="%1."/>
      <w:lvlJc w:val="left"/>
      <w:pPr>
        <w:ind w:left="720" w:hanging="360"/>
      </w:pPr>
    </w:lvl>
    <w:lvl w:ilvl="1" w:tplc="198C762C" w:tentative="1">
      <w:start w:val="1"/>
      <w:numFmt w:val="lowerLetter"/>
      <w:lvlText w:val="%2."/>
      <w:lvlJc w:val="left"/>
      <w:pPr>
        <w:ind w:left="1440" w:hanging="360"/>
      </w:pPr>
    </w:lvl>
    <w:lvl w:ilvl="2" w:tplc="1852761A" w:tentative="1">
      <w:start w:val="1"/>
      <w:numFmt w:val="lowerRoman"/>
      <w:lvlText w:val="%3."/>
      <w:lvlJc w:val="right"/>
      <w:pPr>
        <w:ind w:left="2160" w:hanging="180"/>
      </w:pPr>
    </w:lvl>
    <w:lvl w:ilvl="3" w:tplc="2B5A9634" w:tentative="1">
      <w:start w:val="1"/>
      <w:numFmt w:val="decimal"/>
      <w:lvlText w:val="%4."/>
      <w:lvlJc w:val="left"/>
      <w:pPr>
        <w:ind w:left="2880" w:hanging="360"/>
      </w:pPr>
    </w:lvl>
    <w:lvl w:ilvl="4" w:tplc="CA14FF98" w:tentative="1">
      <w:start w:val="1"/>
      <w:numFmt w:val="lowerLetter"/>
      <w:lvlText w:val="%5."/>
      <w:lvlJc w:val="left"/>
      <w:pPr>
        <w:ind w:left="3600" w:hanging="360"/>
      </w:pPr>
    </w:lvl>
    <w:lvl w:ilvl="5" w:tplc="1B3C1D50" w:tentative="1">
      <w:start w:val="1"/>
      <w:numFmt w:val="lowerRoman"/>
      <w:lvlText w:val="%6."/>
      <w:lvlJc w:val="right"/>
      <w:pPr>
        <w:ind w:left="4320" w:hanging="180"/>
      </w:pPr>
    </w:lvl>
    <w:lvl w:ilvl="6" w:tplc="E71CCAAE" w:tentative="1">
      <w:start w:val="1"/>
      <w:numFmt w:val="decimal"/>
      <w:lvlText w:val="%7."/>
      <w:lvlJc w:val="left"/>
      <w:pPr>
        <w:ind w:left="5040" w:hanging="360"/>
      </w:pPr>
    </w:lvl>
    <w:lvl w:ilvl="7" w:tplc="0BA05C08" w:tentative="1">
      <w:start w:val="1"/>
      <w:numFmt w:val="lowerLetter"/>
      <w:lvlText w:val="%8."/>
      <w:lvlJc w:val="left"/>
      <w:pPr>
        <w:ind w:left="5760" w:hanging="360"/>
      </w:pPr>
    </w:lvl>
    <w:lvl w:ilvl="8" w:tplc="378ED3CE" w:tentative="1">
      <w:start w:val="1"/>
      <w:numFmt w:val="lowerRoman"/>
      <w:lvlText w:val="%9."/>
      <w:lvlJc w:val="right"/>
      <w:pPr>
        <w:ind w:left="6480" w:hanging="180"/>
      </w:pPr>
    </w:lvl>
  </w:abstractNum>
  <w:abstractNum w:abstractNumId="1">
    <w:nsid w:val="482200F3"/>
    <w:multiLevelType w:val="hybridMultilevel"/>
    <w:tmpl w:val="243689AE"/>
    <w:lvl w:ilvl="0" w:tplc="B4D84010">
      <w:start w:val="1"/>
      <w:numFmt w:val="decimal"/>
      <w:lvlText w:val="%1."/>
      <w:lvlJc w:val="left"/>
      <w:pPr>
        <w:ind w:left="720" w:hanging="360"/>
      </w:pPr>
    </w:lvl>
    <w:lvl w:ilvl="1" w:tplc="1AF8E450" w:tentative="1">
      <w:start w:val="1"/>
      <w:numFmt w:val="lowerLetter"/>
      <w:lvlText w:val="%2."/>
      <w:lvlJc w:val="left"/>
      <w:pPr>
        <w:ind w:left="1440" w:hanging="360"/>
      </w:pPr>
    </w:lvl>
    <w:lvl w:ilvl="2" w:tplc="762CF1B2" w:tentative="1">
      <w:start w:val="1"/>
      <w:numFmt w:val="lowerRoman"/>
      <w:lvlText w:val="%3."/>
      <w:lvlJc w:val="right"/>
      <w:pPr>
        <w:ind w:left="2160" w:hanging="180"/>
      </w:pPr>
    </w:lvl>
    <w:lvl w:ilvl="3" w:tplc="FFF63CC8" w:tentative="1">
      <w:start w:val="1"/>
      <w:numFmt w:val="decimal"/>
      <w:lvlText w:val="%4."/>
      <w:lvlJc w:val="left"/>
      <w:pPr>
        <w:ind w:left="2880" w:hanging="360"/>
      </w:pPr>
    </w:lvl>
    <w:lvl w:ilvl="4" w:tplc="22C2E7C2" w:tentative="1">
      <w:start w:val="1"/>
      <w:numFmt w:val="lowerLetter"/>
      <w:lvlText w:val="%5."/>
      <w:lvlJc w:val="left"/>
      <w:pPr>
        <w:ind w:left="3600" w:hanging="360"/>
      </w:pPr>
    </w:lvl>
    <w:lvl w:ilvl="5" w:tplc="7D441436" w:tentative="1">
      <w:start w:val="1"/>
      <w:numFmt w:val="lowerRoman"/>
      <w:lvlText w:val="%6."/>
      <w:lvlJc w:val="right"/>
      <w:pPr>
        <w:ind w:left="4320" w:hanging="180"/>
      </w:pPr>
    </w:lvl>
    <w:lvl w:ilvl="6" w:tplc="A3DA961A" w:tentative="1">
      <w:start w:val="1"/>
      <w:numFmt w:val="decimal"/>
      <w:lvlText w:val="%7."/>
      <w:lvlJc w:val="left"/>
      <w:pPr>
        <w:ind w:left="5040" w:hanging="360"/>
      </w:pPr>
    </w:lvl>
    <w:lvl w:ilvl="7" w:tplc="C9507846" w:tentative="1">
      <w:start w:val="1"/>
      <w:numFmt w:val="lowerLetter"/>
      <w:lvlText w:val="%8."/>
      <w:lvlJc w:val="left"/>
      <w:pPr>
        <w:ind w:left="5760" w:hanging="360"/>
      </w:pPr>
    </w:lvl>
    <w:lvl w:ilvl="8" w:tplc="9CDE74A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3401C"/>
    <w:rsid w:val="0003401C"/>
    <w:rsid w:val="000F419C"/>
    <w:rsid w:val="0042289E"/>
    <w:rsid w:val="004301AC"/>
    <w:rsid w:val="00585F78"/>
    <w:rsid w:val="008468E2"/>
    <w:rsid w:val="00D066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0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01DF"/>
    <w:pPr>
      <w:ind w:left="720"/>
      <w:contextualSpacing/>
    </w:pPr>
  </w:style>
  <w:style w:type="paragraph" w:styleId="Header">
    <w:name w:val="header"/>
    <w:basedOn w:val="Normal"/>
    <w:link w:val="HeaderChar"/>
    <w:uiPriority w:val="99"/>
    <w:unhideWhenUsed/>
    <w:rsid w:val="00173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714"/>
  </w:style>
  <w:style w:type="paragraph" w:styleId="Footer">
    <w:name w:val="footer"/>
    <w:basedOn w:val="Normal"/>
    <w:link w:val="FooterChar"/>
    <w:uiPriority w:val="99"/>
    <w:unhideWhenUsed/>
    <w:rsid w:val="00173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714"/>
  </w:style>
  <w:style w:type="character" w:customStyle="1" w:styleId="apple-converted-space">
    <w:name w:val="apple-converted-space"/>
    <w:basedOn w:val="DefaultParagraphFont"/>
    <w:rsid w:val="00173714"/>
  </w:style>
  <w:style w:type="character" w:styleId="Hyperlink">
    <w:name w:val="Hyperlink"/>
    <w:basedOn w:val="DefaultParagraphFont"/>
    <w:uiPriority w:val="99"/>
    <w:unhideWhenUsed/>
    <w:rsid w:val="00173714"/>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2373</Words>
  <Characters>13529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dcterms:created xsi:type="dcterms:W3CDTF">2017-12-21T04:26:00Z</dcterms:created>
  <dcterms:modified xsi:type="dcterms:W3CDTF">2017-12-21T04:26:00Z</dcterms:modified>
</cp:coreProperties>
</file>